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DB" w:rsidRPr="003F0C55" w:rsidRDefault="00E32931" w:rsidP="00A24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Tytuł prezentacji (Times New Roman 16)</w:t>
      </w:r>
    </w:p>
    <w:p w:rsidR="00A24EE0" w:rsidRPr="00A24EE0" w:rsidRDefault="00A24EE0" w:rsidP="00A24EE0">
      <w:pPr>
        <w:jc w:val="center"/>
        <w:rPr>
          <w:b/>
          <w:sz w:val="20"/>
          <w:szCs w:val="20"/>
        </w:rPr>
      </w:pPr>
    </w:p>
    <w:p w:rsidR="002022DB" w:rsidRDefault="00E32931" w:rsidP="00E32931">
      <w:pPr>
        <w:jc w:val="center"/>
        <w:rPr>
          <w:rFonts w:ascii="Times New Roman Italic" w:hAnsi="Times New Roman Italic"/>
          <w:b/>
        </w:rPr>
      </w:pPr>
      <w:r>
        <w:rPr>
          <w:rFonts w:ascii="Times New Roman Italic" w:hAnsi="Times New Roman Italic"/>
          <w:b/>
          <w:u w:val="single"/>
        </w:rPr>
        <w:t>Autor prezentujący</w:t>
      </w:r>
      <w:r w:rsidRPr="00E32931">
        <w:rPr>
          <w:rFonts w:ascii="Times New Roman Italic" w:hAnsi="Times New Roman Italic"/>
          <w:b/>
          <w:u w:val="single"/>
          <w:vertAlign w:val="superscript"/>
        </w:rPr>
        <w:t>1</w:t>
      </w:r>
      <w:r w:rsidR="008B1558" w:rsidRPr="008B1558">
        <w:rPr>
          <w:rFonts w:ascii="Times New Roman Italic" w:hAnsi="Times New Roman Italic"/>
          <w:b/>
          <w:u w:val="single"/>
        </w:rPr>
        <w:t>,</w:t>
      </w:r>
      <w:r w:rsidR="008323CD" w:rsidRPr="003F0C55">
        <w:rPr>
          <w:rFonts w:ascii="Times New Roman Italic" w:hAnsi="Times New Roman Italic"/>
          <w:b/>
        </w:rPr>
        <w:t xml:space="preserve"> </w:t>
      </w:r>
      <w:r>
        <w:rPr>
          <w:rFonts w:ascii="Times New Roman Italic" w:hAnsi="Times New Roman Italic"/>
          <w:b/>
        </w:rPr>
        <w:t>Współautorzy</w:t>
      </w:r>
      <w:r w:rsidRPr="00E32931">
        <w:rPr>
          <w:rFonts w:ascii="Times New Roman Italic" w:hAnsi="Times New Roman Italic"/>
          <w:b/>
          <w:vertAlign w:val="superscript"/>
        </w:rPr>
        <w:t>2</w:t>
      </w:r>
    </w:p>
    <w:p w:rsidR="00A24EE0" w:rsidRPr="00A24EE0" w:rsidRDefault="00A24EE0" w:rsidP="00A24EE0">
      <w:pPr>
        <w:jc w:val="center"/>
        <w:rPr>
          <w:rFonts w:ascii="Times New Roman Italic" w:hAnsi="Times New Roman Italic"/>
          <w:b/>
        </w:rPr>
      </w:pPr>
    </w:p>
    <w:p w:rsidR="002022DB" w:rsidRDefault="00E32931" w:rsidP="00E32931">
      <w:pPr>
        <w:jc w:val="center"/>
        <w:rPr>
          <w:rFonts w:ascii="Times New Roman Italic" w:hAnsi="Times New Roman Italic"/>
          <w:i/>
        </w:rPr>
      </w:pPr>
      <w:r w:rsidRPr="00E32931">
        <w:rPr>
          <w:rFonts w:ascii="Times New Roman Italic" w:hAnsi="Times New Roman Italic"/>
          <w:i/>
          <w:vertAlign w:val="superscript"/>
        </w:rPr>
        <w:t>1</w:t>
      </w:r>
      <w:r w:rsidR="002022DB" w:rsidRPr="008323CD">
        <w:rPr>
          <w:rFonts w:ascii="Times New Roman Italic" w:hAnsi="Times New Roman Italic" w:hint="eastAsia"/>
          <w:i/>
        </w:rPr>
        <w:t>Uniwersytet</w:t>
      </w:r>
      <w:r>
        <w:rPr>
          <w:rFonts w:ascii="Times New Roman Italic" w:hAnsi="Times New Roman Italic"/>
          <w:i/>
        </w:rPr>
        <w:t xml:space="preserve"> Gdański, Wydział Chemii, </w:t>
      </w:r>
      <w:r w:rsidR="002022DB" w:rsidRPr="008323CD">
        <w:rPr>
          <w:rFonts w:ascii="Times New Roman Italic" w:hAnsi="Times New Roman Italic"/>
          <w:i/>
        </w:rPr>
        <w:t xml:space="preserve">ul. </w:t>
      </w:r>
      <w:r w:rsidR="008B1558">
        <w:rPr>
          <w:rFonts w:ascii="Times New Roman Italic" w:hAnsi="Times New Roman Italic"/>
          <w:i/>
        </w:rPr>
        <w:t>Wita Stwosza 63, 80-308</w:t>
      </w:r>
      <w:r w:rsidR="002022DB" w:rsidRPr="008323CD">
        <w:rPr>
          <w:rFonts w:ascii="Times New Roman Italic" w:hAnsi="Times New Roman Italic"/>
          <w:i/>
        </w:rPr>
        <w:t xml:space="preserve"> Gdańsk, Polska</w:t>
      </w:r>
    </w:p>
    <w:p w:rsidR="00E32931" w:rsidRDefault="00E32931" w:rsidP="00E32931">
      <w:pPr>
        <w:jc w:val="center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 xml:space="preserve">2 </w:t>
      </w:r>
      <w:r w:rsidRPr="008323CD">
        <w:rPr>
          <w:rFonts w:ascii="Times New Roman Italic" w:hAnsi="Times New Roman Italic" w:hint="eastAsia"/>
          <w:i/>
        </w:rPr>
        <w:t>Uniwersytet</w:t>
      </w:r>
      <w:r>
        <w:rPr>
          <w:rFonts w:ascii="Times New Roman Italic" w:hAnsi="Times New Roman Italic"/>
          <w:i/>
        </w:rPr>
        <w:t xml:space="preserve"> Jagielloński, Wydział Chemii, </w:t>
      </w:r>
      <w:r w:rsidRPr="008323CD">
        <w:rPr>
          <w:rFonts w:ascii="Times New Roman Italic" w:hAnsi="Times New Roman Italic"/>
          <w:i/>
        </w:rPr>
        <w:t xml:space="preserve">ul. </w:t>
      </w:r>
      <w:r>
        <w:rPr>
          <w:rFonts w:ascii="Times New Roman Italic" w:hAnsi="Times New Roman Italic"/>
          <w:i/>
        </w:rPr>
        <w:t xml:space="preserve">Gronostajowa 2, </w:t>
      </w:r>
      <w:r w:rsidRPr="00E32931">
        <w:rPr>
          <w:rFonts w:ascii="Times New Roman Italic" w:hAnsi="Times New Roman Italic"/>
          <w:i/>
        </w:rPr>
        <w:t>30-387 Kraków</w:t>
      </w:r>
      <w:r w:rsidRPr="008323CD">
        <w:rPr>
          <w:rFonts w:ascii="Times New Roman Italic" w:hAnsi="Times New Roman Italic"/>
          <w:i/>
        </w:rPr>
        <w:t>, Polska</w:t>
      </w:r>
    </w:p>
    <w:p w:rsidR="00E32931" w:rsidRPr="00A24EE0" w:rsidRDefault="00E32931" w:rsidP="00A24EE0">
      <w:pPr>
        <w:jc w:val="center"/>
        <w:rPr>
          <w:rFonts w:ascii="Times New Roman Italic" w:hAnsi="Times New Roman Italic"/>
        </w:rPr>
      </w:pPr>
    </w:p>
    <w:p w:rsidR="002022DB" w:rsidRPr="009B3AED" w:rsidRDefault="002022DB" w:rsidP="00A24EE0">
      <w:pPr>
        <w:jc w:val="center"/>
        <w:rPr>
          <w:rFonts w:ascii="Times New Roman Italic" w:hAnsi="Times New Roman Italic"/>
          <w:i/>
          <w:sz w:val="22"/>
          <w:szCs w:val="22"/>
        </w:rPr>
      </w:pPr>
    </w:p>
    <w:p w:rsidR="00E32931" w:rsidRDefault="00E32931" w:rsidP="00E32931">
      <w:pPr>
        <w:ind w:firstLine="709"/>
        <w:jc w:val="both"/>
      </w:pPr>
      <w:r>
        <w:t>Xxxxxxxxxxxxxxxxxxxxxxxxxxxxxxxxxxxxxxxxxxxxxxxxxxxxxxxxxxxxxxxxxxxxxxxxxxxxxxxxxxxxxxxxxxxxxxxxxxxxxxxxxxxxxxxxxxxxxxxxxxxxxxxxxxxxxxxxxxxxx</w:t>
      </w:r>
      <w:r w:rsidR="001F6A47">
        <w:t xml:space="preserve"> [1]</w:t>
      </w:r>
      <w:r w:rsidR="00F34D70">
        <w:t xml:space="preserve">. </w:t>
      </w:r>
      <w:r>
        <w:t>xxxxxxxxxxxxxxxxxxxxxxxxxxxxxxxxxxxxxxxxxxxxxxxxxxxxxxxxxxxxxxxxxxxxxxxxxxxxxxxxxxxxxxxxxxxxxxxxxxxxxxxxxxxxxxxxxxxxxxxxxxxxxxxxxxxxxxxxxxxxxxxxxxxxxxxxxxxxxxxxxxxxxxxxxxxxxxxxxxxxxxxxxxxxxxxxxxxxxxxxxxxxxxxxxxxxxxxxx (Rys. 1). xxxxxxxxxxxxxxxxxxxxxxxxxxxxxxxxxxxxxxxxxxxxxxxxxxxxxxxxxxxxxxxxxxxxxxxxxxxxxxxxxxxxxxxxxxxxxxxxxxxxxxxxxxxxxxxxxxxxxxxxxxxxxxxxxxxxxxxxxxxxxxxxxxxxxxxxxxxxxxxxxxxxxxxxxxxxxxxxxxxxxxxxxxxxxxxxxxxxxxxxxxxxxxxxxxxxxxxxxxxxxxxxx xxxxxxxxxxxxxxxxxxxxxxxxxxxxxxxxxxxxxxxxxxxxxxxxxxxxxxxxxxxxxxxxxxxxxxxxxxx.</w:t>
      </w:r>
    </w:p>
    <w:p w:rsidR="00F34D70" w:rsidRDefault="00E32931" w:rsidP="00E32931">
      <w:pPr>
        <w:jc w:val="both"/>
      </w:pPr>
      <w:r>
        <w:t xml:space="preserve">Tekst (Times New Roman 12, wyjustowany) </w:t>
      </w:r>
    </w:p>
    <w:p w:rsidR="00B03BD3" w:rsidRDefault="00B03BD3" w:rsidP="00E32931">
      <w:pPr>
        <w:jc w:val="both"/>
      </w:pPr>
    </w:p>
    <w:p w:rsidR="00D9216F" w:rsidRPr="00BC4E86" w:rsidRDefault="00B03BD3" w:rsidP="003F0C55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130810</wp:posOffset>
                </wp:positionV>
                <wp:extent cx="1304925" cy="657225"/>
                <wp:effectExtent l="76200" t="7620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7.1pt;margin-top:10.3pt;width:102.7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">
                <v:shadow on="t" opacity=".5" offset="-6pt,-6pt"/>
              </v:rect>
            </w:pict>
          </mc:Fallback>
        </mc:AlternateContent>
      </w:r>
    </w:p>
    <w:p w:rsidR="00D37E51" w:rsidRDefault="00D37E51" w:rsidP="00D37E51">
      <w:pPr>
        <w:jc w:val="center"/>
      </w:pPr>
    </w:p>
    <w:p w:rsidR="00D9216F" w:rsidRDefault="00D9216F" w:rsidP="003F0C55">
      <w:pPr>
        <w:jc w:val="both"/>
      </w:pPr>
    </w:p>
    <w:p w:rsidR="00B03BD3" w:rsidRDefault="00B03BD3" w:rsidP="003F0C55">
      <w:pPr>
        <w:jc w:val="both"/>
      </w:pPr>
    </w:p>
    <w:p w:rsidR="00B03BD3" w:rsidRDefault="00B03BD3" w:rsidP="003F0C55">
      <w:pPr>
        <w:jc w:val="both"/>
      </w:pPr>
    </w:p>
    <w:p w:rsidR="00B03BD3" w:rsidRDefault="00B03BD3" w:rsidP="003F0C55">
      <w:pPr>
        <w:jc w:val="both"/>
      </w:pPr>
    </w:p>
    <w:p w:rsidR="003F0C55" w:rsidRDefault="003F0C55" w:rsidP="003F0C55">
      <w:pPr>
        <w:jc w:val="both"/>
      </w:pPr>
      <w:r>
        <w:t xml:space="preserve">Rys. </w:t>
      </w:r>
      <w:r w:rsidR="00E32931">
        <w:t>1 Tytuł rysunku (Times New Roman 12)</w:t>
      </w:r>
      <w:r w:rsidR="00157F19">
        <w:t xml:space="preserve"> Rysunki mogą być zarówno kolorowe jak i czarno-białe.</w:t>
      </w:r>
    </w:p>
    <w:p w:rsidR="002022DB" w:rsidRDefault="002022DB" w:rsidP="00A24EE0">
      <w:pPr>
        <w:jc w:val="both"/>
      </w:pPr>
    </w:p>
    <w:p w:rsidR="00157F19" w:rsidRDefault="00E32931" w:rsidP="00157F19">
      <w:pPr>
        <w:ind w:firstLine="708"/>
        <w:jc w:val="both"/>
      </w:pPr>
      <w:r>
        <w:t>Xxxxxxxxxxxxxxxxxxxxxxxxxxxxxxxxxxxxxxxxxxxxxxxxxxxxxxxxxxxxxxxxxxxxxxxxxxxxxxxxxxxxxxxxxxxxxxxxxxxxxxxxxxxx.</w:t>
      </w:r>
    </w:p>
    <w:p w:rsidR="00E32931" w:rsidRDefault="00E32931" w:rsidP="00D64C9F">
      <w:pPr>
        <w:ind w:firstLine="708"/>
        <w:jc w:val="both"/>
      </w:pPr>
    </w:p>
    <w:p w:rsidR="00E32931" w:rsidRDefault="00E32931" w:rsidP="00E32931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PODZIĘKOWANIA </w:t>
      </w:r>
    </w:p>
    <w:p w:rsidR="00E32931" w:rsidRPr="00E32931" w:rsidRDefault="00E32931" w:rsidP="00E32931">
      <w:pPr>
        <w:jc w:val="both"/>
        <w:rPr>
          <w:sz w:val="20"/>
          <w:szCs w:val="20"/>
          <w:lang w:val="en-US"/>
        </w:rPr>
      </w:pPr>
      <w:proofErr w:type="spellStart"/>
      <w:r w:rsidRPr="00E32931">
        <w:rPr>
          <w:sz w:val="20"/>
          <w:szCs w:val="20"/>
          <w:lang w:val="en-US"/>
        </w:rPr>
        <w:t>X</w:t>
      </w:r>
      <w:r>
        <w:rPr>
          <w:sz w:val="20"/>
          <w:szCs w:val="20"/>
          <w:lang w:val="en-US"/>
        </w:rPr>
        <w:t>xxxxxxxxxxxxxxxxxxxxxxxx</w:t>
      </w:r>
      <w:proofErr w:type="spellEnd"/>
      <w:r>
        <w:rPr>
          <w:sz w:val="20"/>
          <w:szCs w:val="20"/>
          <w:lang w:val="en-US"/>
        </w:rPr>
        <w:t xml:space="preserve"> </w:t>
      </w:r>
      <w:r w:rsidRPr="00E32931">
        <w:rPr>
          <w:sz w:val="20"/>
          <w:szCs w:val="20"/>
        </w:rPr>
        <w:t>(Times New Roman 10)</w:t>
      </w:r>
    </w:p>
    <w:p w:rsidR="00D64C9F" w:rsidRPr="00B022DC" w:rsidRDefault="00D64C9F" w:rsidP="00D64C9F">
      <w:pPr>
        <w:ind w:firstLine="708"/>
        <w:jc w:val="both"/>
      </w:pPr>
    </w:p>
    <w:p w:rsidR="00D37E51" w:rsidRPr="00D37E51" w:rsidRDefault="00A24EE0" w:rsidP="00D37E51">
      <w:pPr>
        <w:jc w:val="both"/>
        <w:rPr>
          <w:b/>
          <w:sz w:val="20"/>
          <w:szCs w:val="20"/>
          <w:lang w:val="en-US"/>
        </w:rPr>
      </w:pPr>
      <w:r w:rsidRPr="00D37E51">
        <w:rPr>
          <w:b/>
          <w:sz w:val="20"/>
          <w:szCs w:val="20"/>
          <w:lang w:val="en-US"/>
        </w:rPr>
        <w:t>LITERATURA</w:t>
      </w:r>
    </w:p>
    <w:p w:rsidR="006371FD" w:rsidRDefault="003F0C55" w:rsidP="00D37E51">
      <w:pPr>
        <w:jc w:val="both"/>
        <w:rPr>
          <w:sz w:val="20"/>
          <w:szCs w:val="20"/>
          <w:lang w:val="en-US"/>
        </w:rPr>
      </w:pPr>
      <w:r w:rsidRPr="00517876">
        <w:rPr>
          <w:sz w:val="20"/>
          <w:szCs w:val="20"/>
          <w:lang w:val="en-US"/>
        </w:rPr>
        <w:t xml:space="preserve">[1] </w:t>
      </w:r>
      <w:r w:rsidR="00517876" w:rsidRPr="00517876">
        <w:rPr>
          <w:sz w:val="20"/>
          <w:szCs w:val="20"/>
          <w:lang w:val="en-US"/>
        </w:rPr>
        <w:t xml:space="preserve">E. M. </w:t>
      </w:r>
      <w:proofErr w:type="spellStart"/>
      <w:r w:rsidR="001F2BFB" w:rsidRPr="00517876">
        <w:rPr>
          <w:sz w:val="20"/>
          <w:szCs w:val="20"/>
          <w:lang w:val="en-US"/>
        </w:rPr>
        <w:t>Warshaw</w:t>
      </w:r>
      <w:proofErr w:type="spellEnd"/>
      <w:r w:rsidR="001F2BFB" w:rsidRPr="00517876">
        <w:rPr>
          <w:sz w:val="20"/>
          <w:szCs w:val="20"/>
          <w:lang w:val="en-US"/>
        </w:rPr>
        <w:t>,</w:t>
      </w:r>
      <w:r w:rsidR="00517876" w:rsidRPr="00517876">
        <w:rPr>
          <w:sz w:val="20"/>
          <w:szCs w:val="20"/>
          <w:lang w:val="en-US"/>
        </w:rPr>
        <w:t xml:space="preserve"> H. I. </w:t>
      </w:r>
      <w:proofErr w:type="spellStart"/>
      <w:r w:rsidR="00517876" w:rsidRPr="00517876">
        <w:rPr>
          <w:sz w:val="20"/>
          <w:szCs w:val="20"/>
          <w:lang w:val="en-US"/>
        </w:rPr>
        <w:t>Bucholtz</w:t>
      </w:r>
      <w:proofErr w:type="spellEnd"/>
      <w:r w:rsidR="00517876" w:rsidRPr="00517876">
        <w:rPr>
          <w:sz w:val="20"/>
          <w:szCs w:val="20"/>
          <w:lang w:val="en-US"/>
        </w:rPr>
        <w:t xml:space="preserve">, D. V. </w:t>
      </w:r>
      <w:proofErr w:type="spellStart"/>
      <w:r w:rsidR="00517876" w:rsidRPr="00517876">
        <w:rPr>
          <w:sz w:val="20"/>
          <w:szCs w:val="20"/>
          <w:lang w:val="en-US"/>
        </w:rPr>
        <w:t>Belisto</w:t>
      </w:r>
      <w:proofErr w:type="spellEnd"/>
      <w:r w:rsidR="00517876" w:rsidRPr="00517876">
        <w:rPr>
          <w:sz w:val="20"/>
          <w:szCs w:val="20"/>
          <w:lang w:val="en-US"/>
        </w:rPr>
        <w:t>,</w:t>
      </w:r>
      <w:r w:rsidR="00517876" w:rsidRPr="00517876">
        <w:rPr>
          <w:i/>
          <w:sz w:val="20"/>
          <w:szCs w:val="20"/>
          <w:lang w:val="en-US"/>
        </w:rPr>
        <w:t xml:space="preserve"> Allergic patch test reactions associated </w:t>
      </w:r>
      <w:r w:rsidR="001F2BFB" w:rsidRPr="00517876">
        <w:rPr>
          <w:i/>
          <w:sz w:val="20"/>
          <w:szCs w:val="20"/>
          <w:lang w:val="en-US"/>
        </w:rPr>
        <w:t xml:space="preserve"> </w:t>
      </w:r>
      <w:r w:rsidR="00517876" w:rsidRPr="00517876">
        <w:rPr>
          <w:i/>
          <w:sz w:val="20"/>
          <w:szCs w:val="20"/>
          <w:lang w:val="en-US"/>
        </w:rPr>
        <w:t>with cosmetics: retrospective</w:t>
      </w:r>
      <w:r w:rsidR="00517876">
        <w:rPr>
          <w:i/>
          <w:sz w:val="20"/>
          <w:szCs w:val="20"/>
          <w:lang w:val="en-US"/>
        </w:rPr>
        <w:t xml:space="preserve"> analysis of cross-sectional data from the North American Contact Dermatitis Group 2001-2004</w:t>
      </w:r>
      <w:r w:rsidR="00517876" w:rsidRPr="00517876">
        <w:rPr>
          <w:sz w:val="20"/>
          <w:szCs w:val="20"/>
          <w:lang w:val="en-US"/>
        </w:rPr>
        <w:t>, J. Am</w:t>
      </w:r>
      <w:r w:rsidR="00517876">
        <w:rPr>
          <w:sz w:val="20"/>
          <w:szCs w:val="20"/>
          <w:lang w:val="en-US"/>
        </w:rPr>
        <w:t xml:space="preserve">. </w:t>
      </w:r>
      <w:r w:rsidR="00517876" w:rsidRPr="00517876">
        <w:rPr>
          <w:sz w:val="20"/>
          <w:szCs w:val="20"/>
          <w:lang w:val="en-US"/>
        </w:rPr>
        <w:t xml:space="preserve"> Acad. </w:t>
      </w:r>
      <w:proofErr w:type="spellStart"/>
      <w:r w:rsidR="00517876">
        <w:rPr>
          <w:sz w:val="20"/>
          <w:szCs w:val="20"/>
          <w:lang w:val="en-US"/>
        </w:rPr>
        <w:t>Dermatol</w:t>
      </w:r>
      <w:proofErr w:type="spellEnd"/>
      <w:r w:rsidR="00517876">
        <w:rPr>
          <w:sz w:val="20"/>
          <w:szCs w:val="20"/>
          <w:lang w:val="en-US"/>
        </w:rPr>
        <w:t xml:space="preserve">. </w:t>
      </w:r>
      <w:r w:rsidR="00517876" w:rsidRPr="00517876">
        <w:rPr>
          <w:b/>
          <w:sz w:val="20"/>
          <w:szCs w:val="20"/>
          <w:lang w:val="en-US"/>
        </w:rPr>
        <w:t>2009</w:t>
      </w:r>
      <w:r w:rsidR="00517876">
        <w:rPr>
          <w:sz w:val="20"/>
          <w:szCs w:val="20"/>
          <w:lang w:val="en-US"/>
        </w:rPr>
        <w:t xml:space="preserve">, </w:t>
      </w:r>
      <w:r w:rsidR="00517876" w:rsidRPr="00517876">
        <w:rPr>
          <w:i/>
          <w:sz w:val="20"/>
          <w:szCs w:val="20"/>
          <w:lang w:val="en-US"/>
        </w:rPr>
        <w:t>60,</w:t>
      </w:r>
      <w:r w:rsidR="00517876">
        <w:rPr>
          <w:sz w:val="20"/>
          <w:szCs w:val="20"/>
          <w:lang w:val="en-US"/>
        </w:rPr>
        <w:t xml:space="preserve"> 23-38.</w:t>
      </w:r>
      <w:r w:rsidR="00E32931" w:rsidRPr="00E32931">
        <w:rPr>
          <w:sz w:val="20"/>
          <w:szCs w:val="20"/>
        </w:rPr>
        <w:t xml:space="preserve"> (Times New Roman 10)</w:t>
      </w:r>
    </w:p>
    <w:p w:rsidR="00E32931" w:rsidRDefault="00E32931" w:rsidP="00D37E51">
      <w:pPr>
        <w:jc w:val="both"/>
        <w:rPr>
          <w:sz w:val="20"/>
          <w:szCs w:val="20"/>
          <w:lang w:val="en-US"/>
        </w:rPr>
      </w:pPr>
    </w:p>
    <w:p w:rsidR="00E32931" w:rsidRPr="00BA689E" w:rsidRDefault="00157F19" w:rsidP="00D37E51">
      <w:pPr>
        <w:jc w:val="both"/>
        <w:rPr>
          <w:b/>
          <w:color w:val="FF0000"/>
          <w:sz w:val="32"/>
          <w:szCs w:val="32"/>
          <w:lang w:val="en-US"/>
        </w:rPr>
      </w:pPr>
      <w:proofErr w:type="spellStart"/>
      <w:r w:rsidRPr="00BA689E">
        <w:rPr>
          <w:b/>
          <w:color w:val="FF0000"/>
          <w:sz w:val="32"/>
          <w:szCs w:val="32"/>
          <w:lang w:val="en-US"/>
        </w:rPr>
        <w:t>Uwag</w:t>
      </w:r>
      <w:bookmarkStart w:id="0" w:name="_GoBack"/>
      <w:bookmarkEnd w:id="0"/>
      <w:r w:rsidRPr="00BA689E">
        <w:rPr>
          <w:b/>
          <w:color w:val="FF0000"/>
          <w:sz w:val="32"/>
          <w:szCs w:val="32"/>
          <w:lang w:val="en-US"/>
        </w:rPr>
        <w:t>a</w:t>
      </w:r>
      <w:proofErr w:type="spellEnd"/>
      <w:r w:rsidRPr="00BA689E">
        <w:rPr>
          <w:b/>
          <w:color w:val="FF0000"/>
          <w:sz w:val="32"/>
          <w:szCs w:val="32"/>
          <w:lang w:val="en-US"/>
        </w:rPr>
        <w:t xml:space="preserve">! </w:t>
      </w:r>
      <w:proofErr w:type="spellStart"/>
      <w:r w:rsidRPr="00BA689E">
        <w:rPr>
          <w:b/>
          <w:color w:val="FF0000"/>
          <w:sz w:val="32"/>
          <w:szCs w:val="32"/>
          <w:lang w:val="en-US"/>
        </w:rPr>
        <w:t>Abstrakt</w:t>
      </w:r>
      <w:proofErr w:type="spellEnd"/>
      <w:r w:rsidRPr="00BA689E"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BA689E">
        <w:rPr>
          <w:b/>
          <w:color w:val="FF0000"/>
          <w:sz w:val="32"/>
          <w:szCs w:val="32"/>
          <w:lang w:val="en-US"/>
        </w:rPr>
        <w:t>musi</w:t>
      </w:r>
      <w:proofErr w:type="spellEnd"/>
      <w:r w:rsidRPr="00BA689E"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BA689E">
        <w:rPr>
          <w:b/>
          <w:color w:val="FF0000"/>
          <w:sz w:val="32"/>
          <w:szCs w:val="32"/>
          <w:lang w:val="en-US"/>
        </w:rPr>
        <w:t>zmieścić</w:t>
      </w:r>
      <w:proofErr w:type="spellEnd"/>
      <w:r w:rsidRPr="00BA689E"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BA689E">
        <w:rPr>
          <w:b/>
          <w:color w:val="FF0000"/>
          <w:sz w:val="32"/>
          <w:szCs w:val="32"/>
          <w:lang w:val="en-US"/>
        </w:rPr>
        <w:t>się</w:t>
      </w:r>
      <w:proofErr w:type="spellEnd"/>
      <w:r w:rsidRPr="00BA689E"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BA689E">
        <w:rPr>
          <w:b/>
          <w:color w:val="FF0000"/>
          <w:sz w:val="32"/>
          <w:szCs w:val="32"/>
          <w:lang w:val="en-US"/>
        </w:rPr>
        <w:t>na</w:t>
      </w:r>
      <w:proofErr w:type="spellEnd"/>
      <w:r w:rsidRPr="00BA689E">
        <w:rPr>
          <w:b/>
          <w:color w:val="FF0000"/>
          <w:sz w:val="32"/>
          <w:szCs w:val="32"/>
          <w:lang w:val="en-US"/>
        </w:rPr>
        <w:t xml:space="preserve"> 1 </w:t>
      </w:r>
      <w:proofErr w:type="spellStart"/>
      <w:r w:rsidRPr="00BA689E">
        <w:rPr>
          <w:b/>
          <w:color w:val="FF0000"/>
          <w:sz w:val="32"/>
          <w:szCs w:val="32"/>
          <w:lang w:val="en-US"/>
        </w:rPr>
        <w:t>stronie</w:t>
      </w:r>
      <w:proofErr w:type="spellEnd"/>
      <w:r w:rsidRPr="00BA689E">
        <w:rPr>
          <w:b/>
          <w:color w:val="FF0000"/>
          <w:sz w:val="32"/>
          <w:szCs w:val="32"/>
          <w:lang w:val="en-US"/>
        </w:rPr>
        <w:t xml:space="preserve"> A4. </w:t>
      </w:r>
    </w:p>
    <w:sectPr w:rsidR="00E32931" w:rsidRPr="00BA689E" w:rsidSect="00A24E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19C"/>
    <w:multiLevelType w:val="multilevel"/>
    <w:tmpl w:val="FA16C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A756D1E"/>
    <w:multiLevelType w:val="multilevel"/>
    <w:tmpl w:val="B94E5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FD"/>
    <w:rsid w:val="00027601"/>
    <w:rsid w:val="00157F19"/>
    <w:rsid w:val="001B2DC2"/>
    <w:rsid w:val="001F2BFB"/>
    <w:rsid w:val="001F3367"/>
    <w:rsid w:val="001F6A47"/>
    <w:rsid w:val="002022DB"/>
    <w:rsid w:val="0022746A"/>
    <w:rsid w:val="002D6095"/>
    <w:rsid w:val="002D769C"/>
    <w:rsid w:val="00313DEB"/>
    <w:rsid w:val="003151BA"/>
    <w:rsid w:val="003F0C55"/>
    <w:rsid w:val="00414AFF"/>
    <w:rsid w:val="00447D5F"/>
    <w:rsid w:val="00453FB6"/>
    <w:rsid w:val="004729DE"/>
    <w:rsid w:val="0048199D"/>
    <w:rsid w:val="004A7E1C"/>
    <w:rsid w:val="004B20D9"/>
    <w:rsid w:val="004F4204"/>
    <w:rsid w:val="00507EE3"/>
    <w:rsid w:val="00517876"/>
    <w:rsid w:val="00530461"/>
    <w:rsid w:val="00622C62"/>
    <w:rsid w:val="006371FD"/>
    <w:rsid w:val="006770A3"/>
    <w:rsid w:val="0077642F"/>
    <w:rsid w:val="007C3C7B"/>
    <w:rsid w:val="007C5737"/>
    <w:rsid w:val="00826C9C"/>
    <w:rsid w:val="008323CD"/>
    <w:rsid w:val="00837B28"/>
    <w:rsid w:val="008B1558"/>
    <w:rsid w:val="008C4E28"/>
    <w:rsid w:val="00916BF7"/>
    <w:rsid w:val="0099563F"/>
    <w:rsid w:val="009C2013"/>
    <w:rsid w:val="009E0030"/>
    <w:rsid w:val="00A24EE0"/>
    <w:rsid w:val="00A34184"/>
    <w:rsid w:val="00B03BD3"/>
    <w:rsid w:val="00B2250E"/>
    <w:rsid w:val="00BA689E"/>
    <w:rsid w:val="00BB3FE5"/>
    <w:rsid w:val="00C137AE"/>
    <w:rsid w:val="00C46EDB"/>
    <w:rsid w:val="00D00F8B"/>
    <w:rsid w:val="00D37E51"/>
    <w:rsid w:val="00D554A3"/>
    <w:rsid w:val="00D64C9F"/>
    <w:rsid w:val="00D9216F"/>
    <w:rsid w:val="00E32931"/>
    <w:rsid w:val="00E717CB"/>
    <w:rsid w:val="00F34A70"/>
    <w:rsid w:val="00F34D70"/>
    <w:rsid w:val="00F3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A341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">
    <w:name w:val="12"/>
    <w:basedOn w:val="Normalny"/>
    <w:rsid w:val="0099563F"/>
    <w:pPr>
      <w:jc w:val="both"/>
    </w:pPr>
    <w:rPr>
      <w:sz w:val="20"/>
      <w:szCs w:val="20"/>
      <w:lang w:val="en-US"/>
    </w:rPr>
  </w:style>
  <w:style w:type="paragraph" w:customStyle="1" w:styleId="Default">
    <w:name w:val="Default"/>
    <w:rsid w:val="002022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F0C55"/>
    <w:pPr>
      <w:widowControl w:val="0"/>
      <w:suppressAutoHyphens/>
      <w:spacing w:after="120"/>
    </w:pPr>
    <w:rPr>
      <w:rFonts w:eastAsia="DejaVu Sans" w:cs="DejaVu Sans"/>
      <w:kern w:val="1"/>
      <w:lang w:val="x-none" w:eastAsia="hi-IN" w:bidi="hi-IN"/>
    </w:rPr>
  </w:style>
  <w:style w:type="character" w:customStyle="1" w:styleId="TekstpodstawowyZnak">
    <w:name w:val="Tekst podstawowy Znak"/>
    <w:link w:val="Tekstpodstawowy"/>
    <w:rsid w:val="003F0C55"/>
    <w:rPr>
      <w:rFonts w:eastAsia="DejaVu Sans" w:cs="DejaVu Sans"/>
      <w:kern w:val="1"/>
      <w:sz w:val="24"/>
      <w:szCs w:val="24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A341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">
    <w:name w:val="12"/>
    <w:basedOn w:val="Normalny"/>
    <w:rsid w:val="0099563F"/>
    <w:pPr>
      <w:jc w:val="both"/>
    </w:pPr>
    <w:rPr>
      <w:sz w:val="20"/>
      <w:szCs w:val="20"/>
      <w:lang w:val="en-US"/>
    </w:rPr>
  </w:style>
  <w:style w:type="paragraph" w:customStyle="1" w:styleId="Default">
    <w:name w:val="Default"/>
    <w:rsid w:val="002022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3F0C55"/>
    <w:pPr>
      <w:widowControl w:val="0"/>
      <w:suppressAutoHyphens/>
      <w:spacing w:after="120"/>
    </w:pPr>
    <w:rPr>
      <w:rFonts w:eastAsia="DejaVu Sans" w:cs="DejaVu Sans"/>
      <w:kern w:val="1"/>
      <w:lang w:val="x-none" w:eastAsia="hi-IN" w:bidi="hi-IN"/>
    </w:rPr>
  </w:style>
  <w:style w:type="character" w:customStyle="1" w:styleId="TekstpodstawowyZnak">
    <w:name w:val="Tekst podstawowy Znak"/>
    <w:link w:val="Tekstpodstawowy"/>
    <w:rsid w:val="003F0C55"/>
    <w:rPr>
      <w:rFonts w:eastAsia="DejaVu Sans" w:cs="DejaVu Sans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Studies on the interactions between different reactive oxygen and nitrogen species and 1,3-diphenylisobenzofuran</vt:lpstr>
    </vt:vector>
  </TitlesOfParts>
  <Company>BRAK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on the interactions between different reactive oxygen and nitrogen species and 1,3-diphenylisobenzofuran</dc:title>
  <dc:creator>Krzysiek</dc:creator>
  <cp:lastModifiedBy>Użytkownik systemu Windows</cp:lastModifiedBy>
  <cp:revision>3</cp:revision>
  <dcterms:created xsi:type="dcterms:W3CDTF">2018-10-07T12:37:00Z</dcterms:created>
  <dcterms:modified xsi:type="dcterms:W3CDTF">2019-01-03T11:46:00Z</dcterms:modified>
</cp:coreProperties>
</file>